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widowControl w:val="1"/>
        <w:spacing w:after="300" w:afterLines="0" w:afterAutospacing="0"/>
        <w:jc w:val="left"/>
        <w:textAlignment w:val="baseline"/>
        <w:outlineLvl w:val="1"/>
        <w:rPr>
          <w:rFonts w:hint="default" w:ascii="Arial" w:hAnsi="Arial" w:eastAsia="ＭＳ Ｐゴシック"/>
          <w:color w:val="303030"/>
          <w:kern w:val="0"/>
          <w:sz w:val="36"/>
        </w:rPr>
      </w:pPr>
      <w:bookmarkStart w:id="0" w:name="_GoBack"/>
      <w:bookmarkEnd w:id="0"/>
      <w:r>
        <w:rPr>
          <w:rFonts w:hint="eastAsia" w:ascii="Arial" w:hAnsi="Arial" w:eastAsia="ＭＳ Ｐゴシック"/>
          <w:color w:val="303030"/>
          <w:kern w:val="0"/>
          <w:sz w:val="36"/>
        </w:rPr>
        <w:t>令和５年度　主基公民館主催事業報告</w:t>
      </w:r>
    </w:p>
    <w:p>
      <w:pPr>
        <w:pStyle w:val="0"/>
        <w:keepNext w:val="0"/>
        <w:keepLines w:val="0"/>
        <w:pageBreakBefore w:val="0"/>
        <w:widowControl w:val="1"/>
        <w:shd w:val="clear" w:color="auto" w:fill="CEEDFC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210" w:afterLines="0" w:afterAutospacing="0"/>
        <w:jc w:val="left"/>
        <w:textAlignment w:val="auto"/>
        <w:outlineLvl w:val="1"/>
        <w:rPr>
          <w:rFonts w:hint="eastAsia" w:ascii="メイリオ" w:hAnsi="メイリオ" w:eastAsia="メイリオ"/>
          <w:b w:val="1"/>
          <w:color w:val="333333"/>
          <w:kern w:val="0"/>
          <w:sz w:val="36"/>
        </w:rPr>
      </w:pP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「足から元気！」教室</w:t>
      </w:r>
    </w:p>
    <w:p>
      <w:pPr>
        <w:pStyle w:val="0"/>
        <w:keepNext w:val="0"/>
        <w:keepLines w:val="0"/>
        <w:pageBreakBefore w:val="0"/>
        <w:widowControl w:val="1"/>
        <w:shd w:val="clear" w:color="auto" w:fill="CEEDFC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210" w:afterLines="0" w:afterAutospacing="0"/>
        <w:jc w:val="left"/>
        <w:textAlignment w:val="auto"/>
        <w:outlineLvl w:val="1"/>
        <w:rPr>
          <w:rFonts w:hint="default" w:ascii="メイリオ" w:hAnsi="メイリオ" w:eastAsia="メイリオ"/>
          <w:b w:val="1"/>
          <w:color w:val="333333"/>
          <w:kern w:val="0"/>
          <w:sz w:val="36"/>
        </w:rPr>
      </w:pPr>
      <w:r>
        <w:rPr>
          <w:rFonts w:hint="default" w:ascii="HG丸ｺﾞｼｯｸM-PRO" w:hAnsi="HG丸ｺﾞｼｯｸM-PRO" w:eastAsia="HG丸ｺﾞｼｯｸM-PRO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style="mso-wrap-distance-right:9pt;mso-wrap-distance-bottom:3.6pt;margin-top:50.75pt;mso-position-vertical-relative:text;mso-position-horizontal-relative:margin;position:absolute;mso-wrap-mode:square;height:168.55pt;mso-wrap-distance-top:3.6pt;width:147.15pt;mso-wrap-distance-left:9pt;margin-left:14.6pt;z-index:3;" o:spid="_x0000_s1026" filled="t" fillcolor="#ffffff" stroked="f" o:spt="202" type="#_x0000_t202">
            <v:fill color2="#ffffff"/>
            <v:textbox style="layout-flow:horizontal;">
              <w:txbxContent>
                <w:p>
                  <w:pPr>
                    <w:pStyle w:val="0"/>
                    <w:rPr>
                      <w:rFonts w:hint="default"/>
                    </w:rPr>
                  </w:pPr>
                  <w:r>
                    <w:rPr>
                      <w:rFonts w:hint="default"/>
                    </w:rPr>
                    <w:drawing>
                      <wp:inline distT="0" distB="0" distL="114300" distR="114300">
                        <wp:extent cx="1682115" cy="1682115"/>
                        <wp:effectExtent l="0" t="0" r="0" b="0"/>
                        <wp:docPr id="1027" name="図形 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図形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15" cy="168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v:imagedata o:title=""/>
            <o:lock v:ext="edit" aspectratio="f"/>
            <w10:wrap type="square" side="both" anchorx="margin" anchory="text"/>
          </v:shape>
        </w:pic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（令和５年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9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月～令和５年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1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２月実施　全４回）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[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全日程終了</w:t>
      </w:r>
      <w:r>
        <w:rPr>
          <w:rFonts w:hint="eastAsia" w:ascii="メイリオ" w:hAnsi="メイリオ" w:eastAsia="メイリオ"/>
          <w:b w:val="1"/>
          <w:color w:val="333333"/>
          <w:kern w:val="0"/>
          <w:sz w:val="36"/>
        </w:rPr>
        <w:t>]</w:t>
      </w:r>
    </w:p>
    <w:p>
      <w:pPr>
        <w:pStyle w:val="0"/>
        <w:widowControl w:val="1"/>
        <w:spacing w:after="100" w:afterLines="0" w:afterAutospacing="1" w:line="60" w:lineRule="exact"/>
        <w:ind w:left="4830" w:leftChars="2300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0"/>
        </w:rPr>
      </w:pPr>
      <w:r>
        <w:rPr>
          <w:rFonts w:hint="default" w:ascii="HG丸ｺﾞｼｯｸM-PRO" w:hAnsi="HG丸ｺﾞｼｯｸM-PRO" w:eastAsia="HG丸ｺﾞｼｯｸM-PRO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" style="margin-top:15.5pt;mso-position-vertical-relative:text;mso-position-horizontal-relative:text;position:absolute;height:151.30000000000001pt;width:38.25pt;margin-left:-264pt;z-index:4;" o:spid="_x0000_s1028" filled="t" stroked="f" o:spt="202" type="#_x0000_t202">
            <v:fill/>
            <v:stroke joinstyle="miter"/>
            <v:textbox style="layout-flow:vertical-ideographic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第１回は、ポールウォーキングの利点及び意識する</w:t>
      </w: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3</w:t>
      </w: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つのポイントと自宅で行える足の貯筋体操を学んだ。</w: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ind w:left="4830" w:leftChars="2300"/>
        <w:jc w:val="left"/>
        <w:textAlignment w:val="baseline"/>
        <w:outlineLvl w:val="9"/>
        <w:rPr>
          <w:rFonts w:hint="default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default" w:ascii="HG丸ｺﾞｼｯｸM-PRO" w:hAnsi="HG丸ｺﾞｼｯｸM-PRO" w:eastAsia="HG丸ｺﾞｼｯｸM-PRO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" style="mso-wrap-distance-right:9pt;mso-wrap-distance-bottom:3.6pt;margin-top:15.5pt;mso-position-vertical-relative:text;mso-position-horizontal-relative:margin;position:absolute;mso-wrap-mode:square;height:156.55000000000001pt;mso-wrap-distance-top:3.6pt;width:147.15pt;mso-wrap-distance-left:9pt;margin-left:13.1pt;z-index:6;" o:spid="_x0000_s1029" filled="t" fillcolor="#ffffff" stroked="f" o:spt="202" type="#_x0000_t202">
            <v:fill color2="#ffffff"/>
            <v:textbox style="layout-flow:horizontal;">
              <w:txbxContent>
                <w:p>
                  <w:pPr>
                    <w:pStyle w:val="0"/>
                    <w:rPr>
                      <w:rFonts w:hint="default"/>
                    </w:rPr>
                  </w:pPr>
                  <w:r>
                    <w:rPr>
                      <w:rFonts w:hint="default"/>
                    </w:rPr>
                    <w:drawing>
                      <wp:inline distT="0" distB="0" distL="114300" distR="114300">
                        <wp:extent cx="1682115" cy="1682115"/>
                        <wp:effectExtent l="0" t="0" r="0" b="0"/>
                        <wp:docPr id="1030" name="図形 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図形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15" cy="168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v:imagedata o:title=""/>
            <o:lock v:ext="edit" aspectratio="f"/>
            <w10:wrap type="square" side="both" anchorx="margin" anchory="text"/>
          </v:shape>
        </w:pict>
      </w: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第２回は、靴の履き方・脈拍チェック・屋内でポールウォーキングの練習。</w: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ind w:left="4830" w:leftChars="2300"/>
        <w:jc w:val="left"/>
        <w:textAlignment w:val="baseline"/>
        <w:outlineLvl w:val="9"/>
        <w:rPr>
          <w:rFonts w:hint="default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24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第３回は、足指力の測定。屋外でポールウォーキング。</w: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ind w:left="4830" w:leftChars="2300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default" w:ascii="HG丸ｺﾞｼｯｸM-PRO" w:hAnsi="HG丸ｺﾞｼｯｸM-PRO" w:eastAsia="HG丸ｺﾞｼｯｸM-PRO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" style="mso-wrap-distance-right:9pt;mso-wrap-distance-bottom:3.6pt;margin-top:17.25pt;mso-position-vertical-relative:text;mso-position-horizontal-relative:margin;position:absolute;mso-wrap-mode:square;height:156.55000000000001pt;mso-wrap-distance-top:3.6pt;width:147.15pt;mso-wrap-distance-left:9pt;margin-left:12.3pt;z-index:8;" o:spid="_x0000_s1031" filled="t" fillcolor="#ffffff" stroked="f" o:spt="202" type="#_x0000_t202">
            <v:fill color2="#ffffff"/>
            <v:textbox style="layout-flow:horizontal;">
              <w:txbxContent>
                <w:p>
                  <w:pPr>
                    <w:pStyle w:val="0"/>
                    <w:rPr>
                      <w:rFonts w:hint="default"/>
                    </w:rPr>
                  </w:pPr>
                  <w:r>
                    <w:rPr>
                      <w:rFonts w:hint="default"/>
                    </w:rPr>
                    <w:drawing>
                      <wp:inline distT="0" distB="0" distL="114300" distR="114300">
                        <wp:extent cx="1682115" cy="1890395"/>
                        <wp:effectExtent l="0" t="0" r="0" b="0"/>
                        <wp:docPr id="1032" name="図形 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図形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15" cy="189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v:imagedata o:title=""/>
            <o:lock v:ext="edit" aspectratio="f"/>
            <w10:wrap type="square" side="both" anchorx="margin" anchory="text"/>
          </v:shape>
        </w:pic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第４回（最終日）は、フットプリンターによる足の測定。屋外でポールウォーキング</w:t>
      </w: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adjustRightInd w:val="1"/>
        <w:snapToGrid w:val="1"/>
        <w:spacing w:after="100" w:afterLines="0" w:afterAutospacing="1" w:line="120" w:lineRule="auto"/>
        <w:jc w:val="left"/>
        <w:textAlignment w:val="baseline"/>
        <w:outlineLvl w:val="9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（左写真３枚は、最終日の様子）</w:t>
      </w:r>
    </w:p>
    <w:p>
      <w:pPr>
        <w:pStyle w:val="0"/>
        <w:widowControl w:val="1"/>
        <w:ind w:firstLine="260" w:firstLineChars="100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　・ウオーキングポールを使用してのストレッチ・貯筋体操から始まり、日頃あまり意識</w:t>
      </w: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　をしていない靴の正しい履き方・足の３つのアーチの大切さや自宅でできる改善方法な</w:t>
      </w: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　どを教えていただいた。</w:t>
      </w:r>
    </w:p>
    <w:p>
      <w:pPr>
        <w:pStyle w:val="0"/>
        <w:widowControl w:val="1"/>
        <w:ind w:firstLine="520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最終日は、良い天候の中、公民館周辺でポールウオーキングを４０分程行い、終了し</w:t>
      </w: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  <w:r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  <w:t>　た。</w:t>
      </w: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widowControl w:val="1"/>
        <w:jc w:val="left"/>
        <w:textAlignment w:val="baseline"/>
        <w:rPr>
          <w:rFonts w:hint="eastAsia" w:ascii="HG丸ｺﾞｼｯｸM-PRO" w:hAnsi="HG丸ｺﾞｼｯｸM-PRO" w:eastAsia="HG丸ｺﾞｼｯｸM-PRO"/>
          <w:color w:val="303030"/>
          <w:kern w:val="0"/>
          <w:sz w:val="26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imSun">
    <w:panose1 w:val="00000000000000000000"/>
    <w:charset w:val="80"/>
    <w:family w:val="auto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m:mathPr xmlns:m="http://schemas.openxmlformats.org/officeDocument/2006/math"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</w:rPr>
    </w:rPrDefault>
  </w:docDefaults>
  <w:style w:type="paragraph" w:styleId="0" w:default="1">
    <w:name w:val="Normal"/>
    <w:next w:val="0"/>
    <w:link w:val="28"/>
    <w:uiPriority w:val="0"/>
    <w:qFormat/>
    <w:pPr>
      <w:widowControl w:val="0"/>
      <w:jc w:val="both"/>
    </w:pPr>
    <w:rPr>
      <w:rFonts w:asciiTheme="minorHAnsi" w:hAnsiTheme="minorHAnsi" w:eastAsiaTheme="minorEastAsia"/>
      <w:kern w:val="2"/>
      <w:sz w:val="21"/>
    </w:rPr>
  </w:style>
  <w:style w:type="paragraph" w:styleId="1">
    <w:name w:val="heading 1"/>
    <w:basedOn w:val="0"/>
    <w:next w:val="0"/>
    <w:link w:val="29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5"/>
    <w:uiPriority w:val="0"/>
    <w:qFormat/>
    <w:pPr>
      <w:widowControl w:val="1"/>
      <w:spacing w:before="100" w:beforeLines="0" w:beforeAutospacing="1" w:after="100" w:afterLines="0" w:afterAutospacing="1"/>
      <w:jc w:val="left"/>
      <w:outlineLvl w:val="1"/>
    </w:pPr>
    <w:rPr>
      <w:rFonts w:ascii="ＭＳ Ｐゴシック" w:hAnsi="ＭＳ Ｐゴシック" w:eastAsia="ＭＳ Ｐゴシック"/>
      <w:b w:val="1"/>
      <w:kern w:val="0"/>
      <w:sz w:val="36"/>
    </w:rPr>
  </w:style>
  <w:style w:type="paragraph" w:styleId="3">
    <w:name w:val="heading 3"/>
    <w:basedOn w:val="0"/>
    <w:next w:val="0"/>
    <w:link w:val="26"/>
    <w:uiPriority w:val="0"/>
    <w:qFormat/>
    <w:pPr>
      <w:widowControl w:val="1"/>
      <w:spacing w:before="100" w:beforeLines="0" w:beforeAutospacing="1" w:after="100" w:afterLines="0" w:afterAutospacing="1"/>
      <w:jc w:val="left"/>
      <w:outlineLvl w:val="2"/>
    </w:pPr>
    <w:rPr>
      <w:rFonts w:ascii="ＭＳ Ｐゴシック" w:hAnsi="ＭＳ Ｐゴシック" w:eastAsia="ＭＳ Ｐゴシック"/>
      <w:b w:val="1"/>
      <w:kern w:val="0"/>
      <w:sz w:val="27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Normal (Web)"/>
    <w:basedOn w:val="0"/>
    <w:next w:val="15"/>
    <w:link w:val="0"/>
    <w:uiPriority w:val="0"/>
    <w:qFormat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paragraph" w:styleId="16">
    <w:name w:val="footer"/>
    <w:basedOn w:val="0"/>
    <w:next w:val="16"/>
    <w:link w:val="24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17">
    <w:name w:val="Balloon Text"/>
    <w:basedOn w:val="0"/>
    <w:next w:val="17"/>
    <w:link w:val="22"/>
    <w:uiPriority w:val="0"/>
    <w:semiHidden/>
    <w:qFormat/>
    <w:rPr>
      <w:rFonts w:asciiTheme="majorHAnsi" w:hAnsiTheme="majorHAnsi" w:eastAsiaTheme="majorEastAsia"/>
      <w:sz w:val="18"/>
    </w:rPr>
  </w:style>
  <w:style w:type="paragraph" w:styleId="18">
    <w:name w:val="header"/>
    <w:basedOn w:val="0"/>
    <w:next w:val="18"/>
    <w:link w:val="23"/>
    <w:uiPriority w:val="0"/>
    <w:qFormat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qFormat/>
    <w:rPr>
      <w:color w:val="0000FF"/>
      <w:u w:val="single" w:color="auto"/>
    </w:rPr>
  </w:style>
  <w:style w:type="character" w:styleId="20">
    <w:name w:val="endnote reference"/>
    <w:basedOn w:val="10"/>
    <w:next w:val="20"/>
    <w:link w:val="0"/>
    <w:uiPriority w:val="0"/>
    <w:semiHidden/>
    <w:qFormat/>
    <w:rPr>
      <w:vertAlign w:val="superscript"/>
    </w:rPr>
  </w:style>
  <w:style w:type="character" w:styleId="21">
    <w:name w:val="footnote reference"/>
    <w:basedOn w:val="10"/>
    <w:next w:val="21"/>
    <w:link w:val="0"/>
    <w:uiPriority w:val="0"/>
    <w:semiHidden/>
    <w:qFormat/>
    <w:rPr>
      <w:vertAlign w:val="superscript"/>
    </w:rPr>
  </w:style>
  <w:style w:type="character" w:styleId="22" w:customStyle="1">
    <w:name w:val="吹き出し (文字)"/>
    <w:basedOn w:val="10"/>
    <w:next w:val="22"/>
    <w:link w:val="17"/>
    <w:uiPriority w:val="0"/>
    <w:qFormat/>
    <w:rPr>
      <w:rFonts w:asciiTheme="majorHAnsi" w:hAnsiTheme="majorHAnsi" w:eastAsiaTheme="majorEastAsia"/>
      <w:sz w:val="18"/>
    </w:rPr>
  </w:style>
  <w:style w:type="character" w:styleId="23" w:customStyle="1">
    <w:name w:val="ヘッダー (文字)"/>
    <w:basedOn w:val="10"/>
    <w:next w:val="23"/>
    <w:link w:val="18"/>
    <w:uiPriority w:val="0"/>
    <w:qFormat/>
  </w:style>
  <w:style w:type="character" w:styleId="24" w:customStyle="1">
    <w:name w:val="フッター (文字)"/>
    <w:basedOn w:val="10"/>
    <w:next w:val="24"/>
    <w:link w:val="16"/>
    <w:uiPriority w:val="0"/>
    <w:qFormat/>
  </w:style>
  <w:style w:type="character" w:styleId="25" w:customStyle="1">
    <w:name w:val="見出し 2 (文字)"/>
    <w:basedOn w:val="10"/>
    <w:next w:val="25"/>
    <w:link w:val="2"/>
    <w:uiPriority w:val="0"/>
    <w:qFormat/>
    <w:rPr>
      <w:rFonts w:ascii="ＭＳ Ｐゴシック" w:hAnsi="ＭＳ Ｐゴシック" w:eastAsia="ＭＳ Ｐゴシック"/>
      <w:b w:val="1"/>
      <w:kern w:val="0"/>
      <w:sz w:val="36"/>
    </w:rPr>
  </w:style>
  <w:style w:type="character" w:styleId="26" w:customStyle="1">
    <w:name w:val="見出し 3 (文字)"/>
    <w:basedOn w:val="10"/>
    <w:next w:val="26"/>
    <w:link w:val="3"/>
    <w:uiPriority w:val="0"/>
    <w:qFormat/>
    <w:rPr>
      <w:rFonts w:ascii="ＭＳ Ｐゴシック" w:hAnsi="ＭＳ Ｐゴシック" w:eastAsia="ＭＳ Ｐゴシック"/>
      <w:b w:val="1"/>
      <w:kern w:val="0"/>
      <w:sz w:val="27"/>
    </w:rPr>
  </w:style>
  <w:style w:type="paragraph" w:styleId="27" w:customStyle="1">
    <w:name w:val="u_txt_1"/>
    <w:basedOn w:val="0"/>
    <w:next w:val="27"/>
    <w:link w:val="0"/>
    <w:uiPriority w:val="0"/>
    <w:qFormat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8" w:customStyle="1">
    <w:name w:val="txt"/>
    <w:basedOn w:val="10"/>
    <w:next w:val="28"/>
    <w:link w:val="0"/>
    <w:uiPriority w:val="0"/>
    <w:qFormat/>
  </w:style>
  <w:style w:type="character" w:styleId="29" w:customStyle="1">
    <w:name w:val="見出し 1 (文字)"/>
    <w:basedOn w:val="10"/>
    <w:next w:val="29"/>
    <w:link w:val="1"/>
    <w:uiPriority w:val="0"/>
    <w:qFormat/>
    <w:rPr>
      <w:rFonts w:asciiTheme="majorHAnsi" w:hAnsiTheme="majorHAnsi" w:eastAsiaTheme="majorEastAsia"/>
      <w:sz w:val="24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21</TotalTime>
  <Pages>1</Pages>
  <Words>51</Words>
  <Characters>295</Characters>
  <Application>JUST Note</Application>
  <Lines>2</Lines>
  <Paragraphs>1</Paragraphs>
  <Company>Toshiba</Company>
  <CharactersWithSpaces>345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小倉 孝昭</dc:creator>
  <cp:lastModifiedBy>Administrator</cp:lastModifiedBy>
  <cp:lastPrinted>2022-10-22T08:45:00Z</cp:lastPrinted>
  <dcterms:created xsi:type="dcterms:W3CDTF">2022-11-09T04:27:00Z</dcterms:created>
  <dcterms:modified xsi:type="dcterms:W3CDTF">2024-01-12T05:41:42Z</dcterms:modified>
  <cp:revision>11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1041-10.8.2.6709</vt:lpwstr>
  </property>
</Properties>
</file>